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FCBDC" w14:textId="6CF98055" w:rsidR="00E25E91" w:rsidRDefault="00B20EB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PrintArray</w:t>
      </w:r>
      <w:proofErr w:type="spellEnd"/>
      <w:r>
        <w:rPr>
          <w:sz w:val="28"/>
          <w:szCs w:val="28"/>
        </w:rPr>
        <w:t xml:space="preserve"> Positioning Plan</w:t>
      </w:r>
    </w:p>
    <w:p w14:paraId="76FC8C43" w14:textId="77777777" w:rsidR="00E25E91" w:rsidRDefault="00E25E91">
      <w:pPr>
        <w:jc w:val="center"/>
        <w:rPr>
          <w:sz w:val="28"/>
          <w:szCs w:val="28"/>
        </w:rPr>
      </w:pPr>
    </w:p>
    <w:p w14:paraId="519DE245" w14:textId="77777777" w:rsidR="00E25E91" w:rsidRDefault="00B20EB2">
      <w:r>
        <w:t>Competitive Alternatives:</w:t>
      </w:r>
    </w:p>
    <w:p w14:paraId="30FE5BB1" w14:textId="77777777" w:rsidR="00E25E91" w:rsidRDefault="00B20EB2">
      <w:pPr>
        <w:numPr>
          <w:ilvl w:val="0"/>
          <w:numId w:val="1"/>
        </w:numPr>
      </w:pPr>
      <w:r>
        <w:t xml:space="preserve">HP </w:t>
      </w:r>
      <w:proofErr w:type="spellStart"/>
      <w:r>
        <w:t>OfficeJet</w:t>
      </w:r>
      <w:proofErr w:type="spellEnd"/>
      <w:r>
        <w:t xml:space="preserve"> Pro 9020</w:t>
      </w:r>
    </w:p>
    <w:p w14:paraId="29105AFC" w14:textId="77777777" w:rsidR="00E25E91" w:rsidRDefault="00B20EB2">
      <w:pPr>
        <w:numPr>
          <w:ilvl w:val="0"/>
          <w:numId w:val="1"/>
        </w:numPr>
      </w:pPr>
      <w:r>
        <w:t>HP Color LaserJet Pro M454dn</w:t>
      </w:r>
    </w:p>
    <w:p w14:paraId="737F4C89" w14:textId="77777777" w:rsidR="00E25E91" w:rsidRDefault="00E25E91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E25E91" w14:paraId="0FE7A31B" w14:textId="77777777">
        <w:tc>
          <w:tcPr>
            <w:tcW w:w="23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81F8C" w14:textId="77777777" w:rsidR="00E25E91" w:rsidRDefault="00E25E91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F40C2" w14:textId="77777777" w:rsidR="00E25E91" w:rsidRDefault="00B20EB2">
            <w:pPr>
              <w:widowControl w:val="0"/>
              <w:spacing w:line="240" w:lineRule="auto"/>
            </w:pPr>
            <w:proofErr w:type="spellStart"/>
            <w:r>
              <w:t>PrintArray</w:t>
            </w:r>
            <w:proofErr w:type="spellEnd"/>
          </w:p>
        </w:tc>
        <w:tc>
          <w:tcPr>
            <w:tcW w:w="23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438E8" w14:textId="77777777" w:rsidR="00E25E91" w:rsidRDefault="00B20EB2">
            <w:r>
              <w:t xml:space="preserve">HP </w:t>
            </w:r>
            <w:proofErr w:type="spellStart"/>
            <w:r>
              <w:t>OfficeJet</w:t>
            </w:r>
            <w:proofErr w:type="spellEnd"/>
            <w:r>
              <w:t xml:space="preserve"> Pro 9020</w:t>
            </w:r>
          </w:p>
        </w:tc>
        <w:tc>
          <w:tcPr>
            <w:tcW w:w="23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7DB60" w14:textId="77777777" w:rsidR="00E25E91" w:rsidRDefault="00B20EB2">
            <w:pPr>
              <w:widowControl w:val="0"/>
              <w:spacing w:line="240" w:lineRule="auto"/>
            </w:pPr>
            <w:r>
              <w:t>HP Color LaserJet Pro M454dn</w:t>
            </w:r>
          </w:p>
        </w:tc>
      </w:tr>
      <w:tr w:rsidR="00E25E91" w14:paraId="756E4A21" w14:textId="77777777">
        <w:tc>
          <w:tcPr>
            <w:tcW w:w="23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9033F" w14:textId="77777777" w:rsidR="00E25E91" w:rsidRDefault="00B20EB2">
            <w:pPr>
              <w:widowControl w:val="0"/>
              <w:spacing w:line="240" w:lineRule="auto"/>
            </w:pPr>
            <w:r>
              <w:t>All-In-One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E69D2" w14:textId="77777777" w:rsidR="00E25E91" w:rsidRDefault="00B20EB2">
            <w:pPr>
              <w:widowControl w:val="0"/>
              <w:spacing w:line="240" w:lineRule="auto"/>
            </w:pPr>
            <w:r>
              <w:t>Yes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E6047" w14:textId="77777777" w:rsidR="00E25E91" w:rsidRDefault="00B20EB2">
            <w:pPr>
              <w:widowControl w:val="0"/>
              <w:spacing w:line="240" w:lineRule="auto"/>
            </w:pPr>
            <w:r>
              <w:t>Yes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0461B" w14:textId="77777777" w:rsidR="00E25E91" w:rsidRDefault="00B20EB2">
            <w:pPr>
              <w:widowControl w:val="0"/>
              <w:spacing w:line="240" w:lineRule="auto"/>
            </w:pPr>
            <w:r>
              <w:t>Yes</w:t>
            </w:r>
          </w:p>
        </w:tc>
      </w:tr>
      <w:tr w:rsidR="00E25E91" w14:paraId="33582C83" w14:textId="77777777">
        <w:tc>
          <w:tcPr>
            <w:tcW w:w="23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EC967" w14:textId="77777777" w:rsidR="00E25E91" w:rsidRDefault="00B20EB2">
            <w:pPr>
              <w:widowControl w:val="0"/>
              <w:spacing w:line="240" w:lineRule="auto"/>
            </w:pPr>
            <w:r>
              <w:t>Price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1402B" w14:textId="77777777" w:rsidR="00E25E91" w:rsidRDefault="00B20EB2">
            <w:pPr>
              <w:widowControl w:val="0"/>
              <w:spacing w:line="240" w:lineRule="auto"/>
            </w:pPr>
            <w:r>
              <w:t>$1,099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7A3F6" w14:textId="77777777" w:rsidR="00E25E91" w:rsidRDefault="00B20EB2">
            <w:pPr>
              <w:widowControl w:val="0"/>
              <w:spacing w:line="240" w:lineRule="auto"/>
            </w:pPr>
            <w:r>
              <w:t>$449.00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9F566" w14:textId="77777777" w:rsidR="00E25E91" w:rsidRDefault="00B20EB2">
            <w:pPr>
              <w:widowControl w:val="0"/>
              <w:spacing w:line="240" w:lineRule="auto"/>
            </w:pPr>
            <w:r>
              <w:t>$799.00</w:t>
            </w:r>
          </w:p>
        </w:tc>
      </w:tr>
      <w:tr w:rsidR="00E25E91" w14:paraId="30E78154" w14:textId="77777777">
        <w:tc>
          <w:tcPr>
            <w:tcW w:w="23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06AFD" w14:textId="77777777" w:rsidR="00E25E91" w:rsidRDefault="00B20EB2">
            <w:pPr>
              <w:widowControl w:val="0"/>
              <w:spacing w:line="240" w:lineRule="auto"/>
            </w:pPr>
            <w:r>
              <w:t>Ink or Toner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55E1B" w14:textId="77777777" w:rsidR="00E25E91" w:rsidRDefault="00B20EB2">
            <w:pPr>
              <w:widowControl w:val="0"/>
              <w:spacing w:line="240" w:lineRule="auto"/>
            </w:pPr>
            <w:r>
              <w:t>Ink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7DE63" w14:textId="77777777" w:rsidR="00E25E91" w:rsidRDefault="00B20EB2">
            <w:pPr>
              <w:widowControl w:val="0"/>
              <w:spacing w:line="240" w:lineRule="auto"/>
            </w:pPr>
            <w:r>
              <w:t>Ink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B7F17" w14:textId="77777777" w:rsidR="00E25E91" w:rsidRDefault="00B20EB2">
            <w:pPr>
              <w:widowControl w:val="0"/>
              <w:spacing w:line="240" w:lineRule="auto"/>
            </w:pPr>
            <w:r>
              <w:t>Toner</w:t>
            </w:r>
          </w:p>
        </w:tc>
      </w:tr>
      <w:tr w:rsidR="00E25E91" w14:paraId="4FEDDDA7" w14:textId="77777777">
        <w:tc>
          <w:tcPr>
            <w:tcW w:w="23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9438A" w14:textId="77777777" w:rsidR="00E25E91" w:rsidRDefault="00B20EB2">
            <w:pPr>
              <w:widowControl w:val="0"/>
              <w:spacing w:line="240" w:lineRule="auto"/>
            </w:pPr>
            <w:r>
              <w:t>Recommended Monthly Page Volume (RMPV)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0DEAC" w14:textId="67170957" w:rsidR="00E25E91" w:rsidRDefault="00425120">
            <w:pPr>
              <w:widowControl w:val="0"/>
              <w:spacing w:line="240" w:lineRule="auto"/>
            </w:pPr>
            <w:r>
              <w:t xml:space="preserve">Up to </w:t>
            </w:r>
            <w:r w:rsidR="00B20EB2">
              <w:t>5,000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B48A6" w14:textId="0C57C558" w:rsidR="00E25E91" w:rsidRDefault="00425120">
            <w:pPr>
              <w:widowControl w:val="0"/>
              <w:spacing w:line="240" w:lineRule="auto"/>
            </w:pPr>
            <w:r>
              <w:t xml:space="preserve">Up to </w:t>
            </w:r>
            <w:r w:rsidR="00B20EB2">
              <w:t>2,000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ECBD1" w14:textId="2FEBB3F9" w:rsidR="00E25E91" w:rsidRDefault="00425120">
            <w:pPr>
              <w:widowControl w:val="0"/>
              <w:spacing w:line="240" w:lineRule="auto"/>
            </w:pPr>
            <w:r>
              <w:t xml:space="preserve">Up to </w:t>
            </w:r>
            <w:r w:rsidR="00B20EB2">
              <w:t>4,000</w:t>
            </w:r>
          </w:p>
        </w:tc>
      </w:tr>
      <w:tr w:rsidR="00E25E91" w14:paraId="48E3539D" w14:textId="77777777">
        <w:tc>
          <w:tcPr>
            <w:tcW w:w="23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D2981" w14:textId="77777777" w:rsidR="00E25E91" w:rsidRDefault="00B20EB2">
            <w:pPr>
              <w:widowControl w:val="0"/>
              <w:spacing w:line="240" w:lineRule="auto"/>
            </w:pPr>
            <w:r>
              <w:t>Cartridge Cost (Multipack)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E31E6" w14:textId="77777777" w:rsidR="00E25E91" w:rsidRDefault="00B20EB2">
            <w:pPr>
              <w:widowControl w:val="0"/>
              <w:spacing w:line="240" w:lineRule="auto"/>
            </w:pPr>
            <w:r>
              <w:t>$499.00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D1E18" w14:textId="77777777" w:rsidR="00E25E91" w:rsidRDefault="00B20EB2">
            <w:pPr>
              <w:widowControl w:val="0"/>
              <w:spacing w:line="240" w:lineRule="auto"/>
            </w:pPr>
            <w:r>
              <w:t>(VCE) $136.54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85AE2" w14:textId="77777777" w:rsidR="00E25E91" w:rsidRDefault="00B20EB2">
            <w:pPr>
              <w:widowControl w:val="0"/>
              <w:spacing w:line="240" w:lineRule="auto"/>
            </w:pPr>
            <w:r>
              <w:t>(VCE) $794.14</w:t>
            </w:r>
          </w:p>
        </w:tc>
      </w:tr>
      <w:tr w:rsidR="00E25E91" w14:paraId="4E193D3D" w14:textId="77777777">
        <w:tc>
          <w:tcPr>
            <w:tcW w:w="23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B7AC3" w14:textId="52D93B0F" w:rsidR="00E25E91" w:rsidRDefault="00B20EB2">
            <w:pPr>
              <w:widowControl w:val="0"/>
              <w:spacing w:line="240" w:lineRule="auto"/>
            </w:pPr>
            <w:r>
              <w:t xml:space="preserve">Pages per </w:t>
            </w:r>
            <w:r w:rsidR="00952710">
              <w:t>Set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038E2" w14:textId="0F5BC19C" w:rsidR="00E25E91" w:rsidRDefault="00B20EB2">
            <w:pPr>
              <w:widowControl w:val="0"/>
              <w:spacing w:line="240" w:lineRule="auto"/>
            </w:pPr>
            <w:r>
              <w:t>30,000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62300" w14:textId="1F429E3E" w:rsidR="00E25E91" w:rsidRDefault="00952710">
            <w:pPr>
              <w:widowControl w:val="0"/>
              <w:spacing w:line="240" w:lineRule="auto"/>
            </w:pPr>
            <w:r>
              <w:t>1</w:t>
            </w:r>
            <w:r w:rsidR="00B20EB2">
              <w:t>,600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9F217" w14:textId="07B98344" w:rsidR="00E25E91" w:rsidRDefault="00B20EB2">
            <w:pPr>
              <w:widowControl w:val="0"/>
              <w:spacing w:line="240" w:lineRule="auto"/>
            </w:pPr>
            <w:r>
              <w:t>6,000</w:t>
            </w:r>
          </w:p>
        </w:tc>
      </w:tr>
      <w:tr w:rsidR="00E25E91" w14:paraId="00837DB5" w14:textId="77777777">
        <w:tc>
          <w:tcPr>
            <w:tcW w:w="23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A81A5" w14:textId="208AA37F" w:rsidR="00E25E91" w:rsidRDefault="00B20EB2">
            <w:pPr>
              <w:widowControl w:val="0"/>
              <w:spacing w:line="240" w:lineRule="auto"/>
            </w:pPr>
            <w:r>
              <w:t>Cost per Page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C8C48" w14:textId="72ED8B5C" w:rsidR="00E25E91" w:rsidRDefault="00B20EB2">
            <w:pPr>
              <w:widowControl w:val="0"/>
              <w:spacing w:line="240" w:lineRule="auto"/>
            </w:pPr>
            <w:r>
              <w:t>$0.0</w:t>
            </w:r>
            <w:r w:rsidR="00952710">
              <w:t>2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E6B04" w14:textId="145FFF0A" w:rsidR="00E25E91" w:rsidRDefault="00B20EB2">
            <w:pPr>
              <w:widowControl w:val="0"/>
              <w:spacing w:line="240" w:lineRule="auto"/>
            </w:pPr>
            <w:r>
              <w:t>$0.0</w:t>
            </w:r>
            <w:r w:rsidR="00952710">
              <w:t>9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C4F86" w14:textId="7EDD70FE" w:rsidR="00E25E91" w:rsidRDefault="00B20EB2">
            <w:pPr>
              <w:widowControl w:val="0"/>
              <w:spacing w:line="240" w:lineRule="auto"/>
            </w:pPr>
            <w:r>
              <w:t>$0.</w:t>
            </w:r>
            <w:r w:rsidR="00952710">
              <w:t>13</w:t>
            </w:r>
          </w:p>
        </w:tc>
      </w:tr>
      <w:tr w:rsidR="00952710" w14:paraId="221DAEE3" w14:textId="77777777">
        <w:tc>
          <w:tcPr>
            <w:tcW w:w="23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496BE" w14:textId="03A728B1" w:rsidR="00952710" w:rsidRDefault="00204BA8">
            <w:pPr>
              <w:widowControl w:val="0"/>
              <w:spacing w:line="240" w:lineRule="auto"/>
            </w:pPr>
            <w:r>
              <w:t>On Cost</w:t>
            </w:r>
            <w:r w:rsidR="00952710">
              <w:t xml:space="preserve"> (12,000 </w:t>
            </w:r>
            <w:proofErr w:type="spellStart"/>
            <w:r w:rsidR="00952710">
              <w:t>pgs</w:t>
            </w:r>
            <w:proofErr w:type="spellEnd"/>
            <w:r w:rsidR="00952710">
              <w:t>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7AA0D" w14:textId="7D5774C4" w:rsidR="00952710" w:rsidRDefault="00952710">
            <w:pPr>
              <w:widowControl w:val="0"/>
              <w:spacing w:line="240" w:lineRule="auto"/>
            </w:pPr>
            <w:r>
              <w:t>$240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382F3" w14:textId="143AE3F2" w:rsidR="00952710" w:rsidRDefault="00952710">
            <w:pPr>
              <w:widowControl w:val="0"/>
              <w:spacing w:line="240" w:lineRule="auto"/>
            </w:pPr>
            <w:r>
              <w:t>$1080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37007" w14:textId="2C2C705B" w:rsidR="00952710" w:rsidRDefault="00952710">
            <w:pPr>
              <w:widowControl w:val="0"/>
              <w:spacing w:line="240" w:lineRule="auto"/>
            </w:pPr>
            <w:r>
              <w:t>$1560</w:t>
            </w:r>
          </w:p>
        </w:tc>
      </w:tr>
      <w:tr w:rsidR="00E25E91" w14:paraId="48608520" w14:textId="77777777">
        <w:tc>
          <w:tcPr>
            <w:tcW w:w="23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A3ACE" w14:textId="77777777" w:rsidR="00E25E91" w:rsidRDefault="00B20EB2">
            <w:pPr>
              <w:widowControl w:val="0"/>
              <w:spacing w:line="240" w:lineRule="auto"/>
            </w:pPr>
            <w:r>
              <w:t>PPM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ED791" w14:textId="77777777" w:rsidR="00E25E91" w:rsidRDefault="00B20EB2">
            <w:pPr>
              <w:widowControl w:val="0"/>
              <w:spacing w:line="240" w:lineRule="auto"/>
            </w:pPr>
            <w:r>
              <w:t>24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095BD" w14:textId="77777777" w:rsidR="00E25E91" w:rsidRDefault="00B20EB2">
            <w:pPr>
              <w:widowControl w:val="0"/>
              <w:spacing w:line="240" w:lineRule="auto"/>
            </w:pPr>
            <w:r>
              <w:t>20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D591E" w14:textId="77777777" w:rsidR="00E25E91" w:rsidRDefault="00B20EB2">
            <w:pPr>
              <w:widowControl w:val="0"/>
              <w:spacing w:line="240" w:lineRule="auto"/>
            </w:pPr>
            <w:r>
              <w:t>28</w:t>
            </w:r>
          </w:p>
        </w:tc>
      </w:tr>
    </w:tbl>
    <w:p w14:paraId="39E0036D" w14:textId="77777777" w:rsidR="00E25E91" w:rsidRDefault="00E25E91"/>
    <w:p w14:paraId="620D0450" w14:textId="77777777" w:rsidR="00C92163" w:rsidRDefault="00C92163"/>
    <w:p w14:paraId="396CEE57" w14:textId="56AF1A86" w:rsidR="00C92163" w:rsidRDefault="00C92163" w:rsidP="00C92163">
      <w:pPr>
        <w:jc w:val="center"/>
      </w:pPr>
      <w:r>
        <w:rPr>
          <w:noProof/>
        </w:rPr>
        <w:drawing>
          <wp:inline distT="0" distB="0" distL="0" distR="0" wp14:anchorId="16997D98" wp14:editId="4FA7794B">
            <wp:extent cx="5175849" cy="2829464"/>
            <wp:effectExtent l="0" t="0" r="6350" b="9525"/>
            <wp:docPr id="1047632981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5F23BFB5" w14:textId="77777777" w:rsidR="00C92163" w:rsidRDefault="00C92163"/>
    <w:p w14:paraId="7FAD4525" w14:textId="77777777" w:rsidR="00C92163" w:rsidRDefault="00C92163"/>
    <w:p w14:paraId="58AB2A3D" w14:textId="77777777" w:rsidR="00C92163" w:rsidRDefault="00C92163"/>
    <w:p w14:paraId="61F04E87" w14:textId="5CEA1520" w:rsidR="00E25E91" w:rsidRDefault="00204BA8">
      <w:r>
        <w:t>Breakthrough</w:t>
      </w:r>
      <w:r w:rsidR="00B20EB2">
        <w:t xml:space="preserve"> Attributes: </w:t>
      </w:r>
    </w:p>
    <w:p w14:paraId="5B017A64" w14:textId="799F094D" w:rsidR="00E25E91" w:rsidRPr="00204BA8" w:rsidRDefault="00B20EB2">
      <w:pPr>
        <w:numPr>
          <w:ilvl w:val="0"/>
          <w:numId w:val="2"/>
        </w:numPr>
      </w:pPr>
      <w:r>
        <w:t xml:space="preserve">Black and Color ink prices are the </w:t>
      </w:r>
      <w:r w:rsidRPr="00204BA8">
        <w:rPr>
          <w:b/>
          <w:bCs/>
        </w:rPr>
        <w:t>same</w:t>
      </w:r>
      <w:r w:rsidR="00204BA8">
        <w:rPr>
          <w:b/>
          <w:bCs/>
        </w:rPr>
        <w:t xml:space="preserve">! </w:t>
      </w:r>
      <w:r w:rsidR="00204BA8" w:rsidRPr="00204BA8">
        <w:t>(think school districts)</w:t>
      </w:r>
    </w:p>
    <w:p w14:paraId="62C13700" w14:textId="554ABFA2" w:rsidR="00E25E91" w:rsidRDefault="00204BA8">
      <w:pPr>
        <w:numPr>
          <w:ilvl w:val="0"/>
          <w:numId w:val="2"/>
        </w:numPr>
      </w:pPr>
      <w:proofErr w:type="spellStart"/>
      <w:r>
        <w:t>Ultra</w:t>
      </w:r>
      <w:r w:rsidR="00B20EB2">
        <w:t xml:space="preserve"> </w:t>
      </w:r>
      <w:proofErr w:type="gramStart"/>
      <w:r w:rsidR="00B20EB2">
        <w:t>high</w:t>
      </w:r>
      <w:proofErr w:type="spellEnd"/>
      <w:r w:rsidR="00B20EB2">
        <w:t xml:space="preserve"> volume</w:t>
      </w:r>
      <w:proofErr w:type="gramEnd"/>
      <w:r w:rsidR="00B20EB2">
        <w:t xml:space="preserve"> ink cartridges</w:t>
      </w:r>
    </w:p>
    <w:p w14:paraId="2967F1B0" w14:textId="395453D5" w:rsidR="00E25E91" w:rsidRDefault="00B20EB2">
      <w:pPr>
        <w:numPr>
          <w:ilvl w:val="0"/>
          <w:numId w:val="2"/>
        </w:numPr>
      </w:pPr>
      <w:r>
        <w:t>Proprietary firmware means</w:t>
      </w:r>
      <w:r w:rsidR="00204BA8">
        <w:t xml:space="preserve"> zero</w:t>
      </w:r>
      <w:r>
        <w:t xml:space="preserve"> updates</w:t>
      </w:r>
      <w:r w:rsidR="00204BA8">
        <w:t xml:space="preserve">, meaning </w:t>
      </w:r>
      <w:r>
        <w:t xml:space="preserve">fewer </w:t>
      </w:r>
      <w:proofErr w:type="gramStart"/>
      <w:r>
        <w:t>interruptions</w:t>
      </w:r>
      <w:proofErr w:type="gramEnd"/>
    </w:p>
    <w:p w14:paraId="13AFBBFD" w14:textId="77777777" w:rsidR="00E25E91" w:rsidRDefault="00E25E91"/>
    <w:p w14:paraId="57CBA496" w14:textId="77777777" w:rsidR="00E25E91" w:rsidRDefault="00B20EB2">
      <w:r>
        <w:t>Value:</w:t>
      </w:r>
    </w:p>
    <w:p w14:paraId="3A75F9DD" w14:textId="5BF5D12B" w:rsidR="00E25E91" w:rsidRDefault="006056F8">
      <w:pPr>
        <w:numPr>
          <w:ilvl w:val="0"/>
          <w:numId w:val="4"/>
        </w:numPr>
      </w:pPr>
      <w:r>
        <w:t>Immediate and e</w:t>
      </w:r>
      <w:r w:rsidR="00B20EB2">
        <w:t>normous savings available, especially for those who print predominantly in color.</w:t>
      </w:r>
    </w:p>
    <w:p w14:paraId="5AFF784A" w14:textId="5893F03B" w:rsidR="00E25E91" w:rsidRDefault="006056F8">
      <w:pPr>
        <w:numPr>
          <w:ilvl w:val="0"/>
          <w:numId w:val="4"/>
        </w:numPr>
      </w:pPr>
      <w:proofErr w:type="spellStart"/>
      <w:r>
        <w:t xml:space="preserve">Ultra </w:t>
      </w:r>
      <w:proofErr w:type="gramStart"/>
      <w:r>
        <w:t>h</w:t>
      </w:r>
      <w:r w:rsidR="00B20EB2">
        <w:t>igh</w:t>
      </w:r>
      <w:proofErr w:type="spellEnd"/>
      <w:r w:rsidR="00B20EB2">
        <w:t xml:space="preserve"> volume</w:t>
      </w:r>
      <w:proofErr w:type="gramEnd"/>
      <w:r w:rsidR="00B20EB2">
        <w:t xml:space="preserve"> cartridges means running out of ink less, less waste, less space occupied for storing cartridge supplies</w:t>
      </w:r>
      <w:r w:rsidR="00425120">
        <w:t xml:space="preserve"> and lower procurement costs</w:t>
      </w:r>
      <w:r>
        <w:t xml:space="preserve">. </w:t>
      </w:r>
      <w:r w:rsidR="00425120">
        <w:t xml:space="preserve"> </w:t>
      </w:r>
      <w:r>
        <w:t>Also, there are fewer</w:t>
      </w:r>
      <w:r w:rsidR="00425120">
        <w:t xml:space="preserve"> opportunit</w:t>
      </w:r>
      <w:r>
        <w:t>ies</w:t>
      </w:r>
      <w:r w:rsidR="00425120">
        <w:t xml:space="preserve"> for error</w:t>
      </w:r>
      <w:r w:rsidR="00204BA8">
        <w:t xml:space="preserve"> during cartridge installation.</w:t>
      </w:r>
    </w:p>
    <w:p w14:paraId="15B68308" w14:textId="58F44CDC" w:rsidR="00E25E91" w:rsidRDefault="00B20EB2">
      <w:pPr>
        <w:numPr>
          <w:ilvl w:val="0"/>
          <w:numId w:val="4"/>
        </w:numPr>
      </w:pPr>
      <w:r>
        <w:t xml:space="preserve">Avoid </w:t>
      </w:r>
      <w:r w:rsidR="006056F8">
        <w:t>nag screens</w:t>
      </w:r>
      <w:r>
        <w:t>, random lockouts, and restarts; your printer is always ready when you are.</w:t>
      </w:r>
    </w:p>
    <w:p w14:paraId="15CD7CB6" w14:textId="77777777" w:rsidR="00E25E91" w:rsidRDefault="00E25E91"/>
    <w:p w14:paraId="07360B71" w14:textId="77777777" w:rsidR="00E25E91" w:rsidRDefault="00B20EB2">
      <w:r>
        <w:t>Target Market Characteristics:</w:t>
      </w:r>
    </w:p>
    <w:p w14:paraId="3F619FCE" w14:textId="39EF42D6" w:rsidR="00E25E91" w:rsidRDefault="00B20EB2">
      <w:pPr>
        <w:numPr>
          <w:ilvl w:val="0"/>
          <w:numId w:val="3"/>
        </w:numPr>
      </w:pPr>
      <w:r>
        <w:t xml:space="preserve">People who print </w:t>
      </w:r>
      <w:r w:rsidR="00425120">
        <w:t xml:space="preserve">up to </w:t>
      </w:r>
      <w:r>
        <w:t>5,000 pages per month</w:t>
      </w:r>
      <w:r w:rsidR="00425120">
        <w:t xml:space="preserve"> (up to 250 pages per business day)</w:t>
      </w:r>
    </w:p>
    <w:p w14:paraId="1F3C6CB1" w14:textId="77777777" w:rsidR="00E25E91" w:rsidRDefault="00B20EB2">
      <w:pPr>
        <w:numPr>
          <w:ilvl w:val="0"/>
          <w:numId w:val="3"/>
        </w:numPr>
      </w:pPr>
      <w:r>
        <w:t>People with individual printers in their office (Non-Network Printers)</w:t>
      </w:r>
    </w:p>
    <w:p w14:paraId="6C228762" w14:textId="77777777" w:rsidR="00E25E91" w:rsidRDefault="00B20EB2">
      <w:pPr>
        <w:numPr>
          <w:ilvl w:val="1"/>
          <w:numId w:val="3"/>
        </w:numPr>
      </w:pPr>
      <w:r>
        <w:t>Orgs that are geographically diverse such as:</w:t>
      </w:r>
    </w:p>
    <w:p w14:paraId="03B0A694" w14:textId="77777777" w:rsidR="00E25E91" w:rsidRDefault="00B20EB2">
      <w:pPr>
        <w:numPr>
          <w:ilvl w:val="2"/>
          <w:numId w:val="3"/>
        </w:numPr>
      </w:pPr>
      <w:r>
        <w:t>VDH</w:t>
      </w:r>
    </w:p>
    <w:p w14:paraId="2AF32581" w14:textId="77777777" w:rsidR="00E25E91" w:rsidRDefault="00B20EB2">
      <w:pPr>
        <w:numPr>
          <w:ilvl w:val="2"/>
          <w:numId w:val="3"/>
        </w:numPr>
      </w:pPr>
      <w:r>
        <w:t>VSP</w:t>
      </w:r>
    </w:p>
    <w:p w14:paraId="4CF28002" w14:textId="77777777" w:rsidR="00E25E91" w:rsidRDefault="00B20EB2">
      <w:pPr>
        <w:numPr>
          <w:ilvl w:val="2"/>
          <w:numId w:val="3"/>
        </w:numPr>
      </w:pPr>
      <w:r>
        <w:t>Probation and Parole</w:t>
      </w:r>
    </w:p>
    <w:p w14:paraId="0E25A4C5" w14:textId="77777777" w:rsidR="00E25E91" w:rsidRDefault="00B20EB2">
      <w:pPr>
        <w:numPr>
          <w:ilvl w:val="2"/>
          <w:numId w:val="3"/>
        </w:numPr>
      </w:pPr>
      <w:r>
        <w:t>Secure perimeter customers in DOC</w:t>
      </w:r>
    </w:p>
    <w:p w14:paraId="311993FE" w14:textId="32118468" w:rsidR="006056F8" w:rsidRDefault="006056F8">
      <w:pPr>
        <w:numPr>
          <w:ilvl w:val="2"/>
          <w:numId w:val="3"/>
        </w:numPr>
      </w:pPr>
      <w:r>
        <w:t>SoHo customers</w:t>
      </w:r>
    </w:p>
    <w:p w14:paraId="678F17C7" w14:textId="77777777" w:rsidR="006056F8" w:rsidRDefault="006056F8" w:rsidP="006056F8">
      <w:pPr>
        <w:ind w:left="2160"/>
      </w:pPr>
    </w:p>
    <w:p w14:paraId="552EDD73" w14:textId="77777777" w:rsidR="00E25E91" w:rsidRDefault="00B20EB2">
      <w:pPr>
        <w:numPr>
          <w:ilvl w:val="0"/>
          <w:numId w:val="3"/>
        </w:numPr>
      </w:pPr>
      <w:r>
        <w:t>People who print predominantly in color such as educators</w:t>
      </w:r>
    </w:p>
    <w:p w14:paraId="01F2745A" w14:textId="77777777" w:rsidR="00E25E91" w:rsidRDefault="00E25E91"/>
    <w:p w14:paraId="4D663F91" w14:textId="77777777" w:rsidR="00E25E91" w:rsidRDefault="00B20EB2">
      <w:r>
        <w:t>Market Category:</w:t>
      </w:r>
    </w:p>
    <w:p w14:paraId="66A17139" w14:textId="08880498" w:rsidR="00E25E91" w:rsidRDefault="00B20EB2">
      <w:pPr>
        <w:ind w:left="720"/>
      </w:pPr>
      <w:r>
        <w:t>Personal A</w:t>
      </w:r>
      <w:r w:rsidR="006056F8">
        <w:t>I</w:t>
      </w:r>
      <w:r>
        <w:t>O printers with heavy color use.</w:t>
      </w:r>
    </w:p>
    <w:p w14:paraId="5A81767D" w14:textId="77777777" w:rsidR="00E25E91" w:rsidRDefault="00E25E91">
      <w:pPr>
        <w:ind w:left="720"/>
      </w:pPr>
    </w:p>
    <w:p w14:paraId="33AB90FF" w14:textId="77777777" w:rsidR="00E25E91" w:rsidRDefault="00E25E91">
      <w:pPr>
        <w:ind w:left="720"/>
      </w:pPr>
    </w:p>
    <w:p w14:paraId="57E65C94" w14:textId="6212476E" w:rsidR="00E25E91" w:rsidRDefault="00B20EB2">
      <w:r>
        <w:t xml:space="preserve">For those who want incredible savings on black and color printing, </w:t>
      </w:r>
      <w:proofErr w:type="spellStart"/>
      <w:r>
        <w:t>PrintArray</w:t>
      </w:r>
      <w:proofErr w:type="spellEnd"/>
      <w:r>
        <w:t xml:space="preserve"> offers some of the lowest cost per page printing available with</w:t>
      </w:r>
      <w:r w:rsidR="006056F8">
        <w:t xml:space="preserve"> outstanding </w:t>
      </w:r>
      <w:r>
        <w:t xml:space="preserve">quality. Switch to </w:t>
      </w:r>
      <w:proofErr w:type="spellStart"/>
      <w:r>
        <w:t>PrintArray</w:t>
      </w:r>
      <w:proofErr w:type="spellEnd"/>
      <w:r>
        <w:t xml:space="preserve"> for a convenient, low cost, low maintenance solution to your printing needs.</w:t>
      </w:r>
    </w:p>
    <w:p w14:paraId="3B7A80B8" w14:textId="77777777" w:rsidR="00E25E91" w:rsidRDefault="00E25E91"/>
    <w:p w14:paraId="65A8DC59" w14:textId="77777777" w:rsidR="00E25E91" w:rsidRDefault="00E25E91"/>
    <w:sectPr w:rsidR="00E25E9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43D0C"/>
    <w:multiLevelType w:val="multilevel"/>
    <w:tmpl w:val="8A5673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46307F"/>
    <w:multiLevelType w:val="multilevel"/>
    <w:tmpl w:val="807EC3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6F95E1F"/>
    <w:multiLevelType w:val="multilevel"/>
    <w:tmpl w:val="1A7EB478"/>
    <w:lvl w:ilvl="0">
      <w:start w:val="1"/>
      <w:numFmt w:val="bullet"/>
      <w:lvlText w:val="●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C87288D"/>
    <w:multiLevelType w:val="multilevel"/>
    <w:tmpl w:val="D5D046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293291696">
    <w:abstractNumId w:val="2"/>
  </w:num>
  <w:num w:numId="2" w16cid:durableId="2101826119">
    <w:abstractNumId w:val="0"/>
  </w:num>
  <w:num w:numId="3" w16cid:durableId="486363385">
    <w:abstractNumId w:val="1"/>
  </w:num>
  <w:num w:numId="4" w16cid:durableId="16903774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E91"/>
    <w:rsid w:val="000070A6"/>
    <w:rsid w:val="00204BA8"/>
    <w:rsid w:val="00307068"/>
    <w:rsid w:val="00425120"/>
    <w:rsid w:val="006056F8"/>
    <w:rsid w:val="00952710"/>
    <w:rsid w:val="00B20EB2"/>
    <w:rsid w:val="00C92163"/>
    <w:rsid w:val="00E2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346D1"/>
  <w15:docId w15:val="{E144D6E1-204E-449B-BA0F-B2D0EC132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On Cost (12,000 Pages)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Sheet1!$A$2:$A$4</c:f>
              <c:strCache>
                <c:ptCount val="3"/>
                <c:pt idx="0">
                  <c:v>PrintArray</c:v>
                </c:pt>
                <c:pt idx="1">
                  <c:v>HP OfficeJet Pro 9020</c:v>
                </c:pt>
                <c:pt idx="2">
                  <c:v>HP Color LaserJet Pro M454dn</c:v>
                </c:pt>
              </c:strCache>
            </c:strRef>
          </c:cat>
          <c:val>
            <c:numRef>
              <c:f>Sheet1!$B$2:$B$4</c:f>
              <c:numCache>
                <c:formatCode>"$"#,##0_);[Red]\("$"#,##0\)</c:formatCode>
                <c:ptCount val="3"/>
                <c:pt idx="0">
                  <c:v>240</c:v>
                </c:pt>
                <c:pt idx="1">
                  <c:v>1080</c:v>
                </c:pt>
                <c:pt idx="2">
                  <c:v>1560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7C1-4BAA-87BE-020368F769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48419968"/>
        <c:axId val="983022383"/>
      </c:barChart>
      <c:catAx>
        <c:axId val="1548419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83022383"/>
        <c:crosses val="autoZero"/>
        <c:auto val="1"/>
        <c:lblAlgn val="ctr"/>
        <c:lblOffset val="100"/>
        <c:noMultiLvlLbl val="0"/>
      </c:catAx>
      <c:valAx>
        <c:axId val="98302238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$&quot;#,##0_);[Red]\(&quot;$&quot;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484199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Graner, Philip (VADOC)</dc:creator>
  <cp:lastModifiedBy>Graner, Philip (VADOC)</cp:lastModifiedBy>
  <cp:revision>2</cp:revision>
  <dcterms:created xsi:type="dcterms:W3CDTF">2024-03-20T14:28:00Z</dcterms:created>
  <dcterms:modified xsi:type="dcterms:W3CDTF">2024-03-20T14:28:00Z</dcterms:modified>
</cp:coreProperties>
</file>